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A88" w:rsidRDefault="00A23A88" w:rsidP="00A23A88">
      <w:pPr>
        <w:jc w:val="center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t xml:space="preserve">MAJOR RELEVANT </w:t>
      </w:r>
      <w:r w:rsidRPr="004C7F04">
        <w:rPr>
          <w:rFonts w:asciiTheme="majorHAnsi" w:hAnsiTheme="majorHAnsi"/>
          <w:b/>
          <w:szCs w:val="22"/>
        </w:rPr>
        <w:t>PUBLICATIONS</w:t>
      </w:r>
    </w:p>
    <w:p w:rsidR="00A23A88" w:rsidRPr="00A23A88" w:rsidRDefault="00A23A88" w:rsidP="00A23A88">
      <w:pPr>
        <w:jc w:val="center"/>
        <w:rPr>
          <w:rFonts w:asciiTheme="majorHAnsi" w:hAnsiTheme="majorHAnsi"/>
          <w:szCs w:val="22"/>
        </w:rPr>
      </w:pPr>
      <w:r w:rsidRPr="004C7F04">
        <w:rPr>
          <w:rFonts w:asciiTheme="majorHAnsi" w:hAnsiTheme="majorHAnsi"/>
          <w:szCs w:val="22"/>
        </w:rPr>
        <w:t>JO SHAW</w:t>
      </w:r>
    </w:p>
    <w:p w:rsidR="00A23A88" w:rsidRPr="004C7F04" w:rsidRDefault="00A23A88" w:rsidP="00A23A88">
      <w:pPr>
        <w:rPr>
          <w:rFonts w:asciiTheme="majorHAnsi" w:hAnsiTheme="majorHAnsi"/>
          <w:szCs w:val="22"/>
        </w:rPr>
      </w:pPr>
    </w:p>
    <w:p w:rsidR="00A23A88" w:rsidRPr="004C7F04" w:rsidRDefault="00A23A88" w:rsidP="00A23A88">
      <w:pPr>
        <w:spacing w:after="20"/>
        <w:ind w:left="720" w:hanging="720"/>
        <w:rPr>
          <w:rFonts w:asciiTheme="majorHAnsi" w:hAnsiTheme="majorHAnsi"/>
          <w:szCs w:val="22"/>
        </w:rPr>
      </w:pPr>
      <w:r w:rsidRPr="004C7F04">
        <w:rPr>
          <w:rFonts w:asciiTheme="majorHAnsi" w:hAnsiTheme="majorHAnsi"/>
          <w:i/>
          <w:szCs w:val="22"/>
        </w:rPr>
        <w:t>The Transformation of Citizenship in the European Union</w:t>
      </w:r>
      <w:r w:rsidRPr="004C7F04">
        <w:rPr>
          <w:rFonts w:asciiTheme="majorHAnsi" w:hAnsiTheme="majorHAnsi"/>
          <w:szCs w:val="22"/>
        </w:rPr>
        <w:t xml:space="preserve">, Cambridge: Cambridge University Press, 2007, 398pp + xviii </w:t>
      </w:r>
      <w:r>
        <w:rPr>
          <w:rFonts w:asciiTheme="majorHAnsi" w:hAnsiTheme="majorHAnsi"/>
          <w:szCs w:val="22"/>
        </w:rPr>
        <w:t>(awarded UACES Book Prize 2008)</w:t>
      </w:r>
    </w:p>
    <w:p w:rsidR="00A23A88" w:rsidRDefault="00A23A88" w:rsidP="00A23A88">
      <w:pPr>
        <w:spacing w:after="20"/>
        <w:ind w:left="720" w:hanging="720"/>
        <w:rPr>
          <w:rFonts w:asciiTheme="majorHAnsi" w:hAnsiTheme="majorHAnsi"/>
          <w:szCs w:val="22"/>
        </w:rPr>
      </w:pPr>
      <w:r w:rsidRPr="00C349C1">
        <w:rPr>
          <w:rFonts w:asciiTheme="majorHAnsi" w:hAnsiTheme="majorHAnsi"/>
          <w:i/>
          <w:szCs w:val="22"/>
        </w:rPr>
        <w:t>Legal Spaces of Citizenship in the New States of South East Europe</w:t>
      </w:r>
      <w:r>
        <w:rPr>
          <w:rFonts w:asciiTheme="majorHAnsi" w:hAnsiTheme="majorHAnsi"/>
          <w:szCs w:val="22"/>
        </w:rPr>
        <w:t>, Cambridge: Cambridge University Press, for submission in 2019</w:t>
      </w:r>
    </w:p>
    <w:p w:rsidR="00A23A88" w:rsidRPr="004D6D7E" w:rsidRDefault="00A23A88" w:rsidP="00A23A88">
      <w:pPr>
        <w:spacing w:after="20"/>
        <w:ind w:left="720" w:hanging="72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(edited with Igor </w:t>
      </w:r>
      <w:r w:rsidRPr="004D6D7E">
        <w:rPr>
          <w:rFonts w:asciiTheme="majorHAnsi" w:hAnsiTheme="majorHAnsi" w:cs="Lucida Grande"/>
        </w:rPr>
        <w:t>Š</w:t>
      </w:r>
      <w:r>
        <w:rPr>
          <w:rFonts w:asciiTheme="majorHAnsi" w:hAnsiTheme="majorHAnsi" w:cs="Lucida Grande"/>
        </w:rPr>
        <w:t>tiks)</w:t>
      </w:r>
      <w:r>
        <w:rPr>
          <w:rFonts w:asciiTheme="majorHAnsi" w:hAnsiTheme="majorHAnsi"/>
          <w:szCs w:val="22"/>
        </w:rPr>
        <w:t xml:space="preserve"> </w:t>
      </w:r>
      <w:r>
        <w:rPr>
          <w:rFonts w:asciiTheme="majorHAnsi" w:hAnsiTheme="majorHAnsi" w:cs="Lucida Grande"/>
          <w:i/>
        </w:rPr>
        <w:t>Citizenship after Yugoslavia</w:t>
      </w:r>
      <w:r>
        <w:rPr>
          <w:rFonts w:asciiTheme="majorHAnsi" w:hAnsiTheme="majorHAnsi" w:cs="Lucida Grande"/>
        </w:rPr>
        <w:t>, Taylor and Francis, 2012, 154pp</w:t>
      </w:r>
    </w:p>
    <w:p w:rsidR="00A23A88" w:rsidRPr="00BB5269" w:rsidRDefault="00A23A88" w:rsidP="00A23A88">
      <w:pPr>
        <w:spacing w:after="20"/>
        <w:ind w:left="720" w:hanging="720"/>
        <w:rPr>
          <w:rFonts w:asciiTheme="majorHAnsi" w:hAnsiTheme="majorHAnsi" w:cs="Lucida Grande"/>
        </w:rPr>
      </w:pPr>
      <w:r>
        <w:rPr>
          <w:rFonts w:asciiTheme="majorHAnsi" w:hAnsiTheme="majorHAnsi" w:cs="Lucida Grande"/>
        </w:rPr>
        <w:t xml:space="preserve">(edited </w:t>
      </w:r>
      <w:r>
        <w:rPr>
          <w:rFonts w:asciiTheme="majorHAnsi" w:hAnsiTheme="majorHAnsi"/>
          <w:szCs w:val="22"/>
        </w:rPr>
        <w:t xml:space="preserve">with Igor </w:t>
      </w:r>
      <w:r w:rsidRPr="004D6D7E">
        <w:rPr>
          <w:rFonts w:asciiTheme="majorHAnsi" w:hAnsiTheme="majorHAnsi" w:cs="Lucida Grande"/>
        </w:rPr>
        <w:t>Š</w:t>
      </w:r>
      <w:r>
        <w:rPr>
          <w:rFonts w:asciiTheme="majorHAnsi" w:hAnsiTheme="majorHAnsi" w:cs="Lucida Grande"/>
        </w:rPr>
        <w:t xml:space="preserve">tiks), </w:t>
      </w:r>
      <w:r>
        <w:rPr>
          <w:rFonts w:asciiTheme="majorHAnsi" w:hAnsiTheme="majorHAnsi" w:cs="Lucida Grande"/>
          <w:i/>
        </w:rPr>
        <w:t>Citizens’ Rights</w:t>
      </w:r>
      <w:r>
        <w:rPr>
          <w:rFonts w:asciiTheme="majorHAnsi" w:hAnsiTheme="majorHAnsi" w:cs="Lucida Grande"/>
        </w:rPr>
        <w:t>, Ashgate, 2013</w:t>
      </w:r>
    </w:p>
    <w:p w:rsidR="00A23A88" w:rsidRPr="003E50D8" w:rsidRDefault="00A23A88" w:rsidP="00A23A88">
      <w:pPr>
        <w:spacing w:after="20"/>
        <w:ind w:left="720" w:hanging="72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(edited) </w:t>
      </w:r>
      <w:r>
        <w:rPr>
          <w:rFonts w:asciiTheme="majorHAnsi" w:hAnsiTheme="majorHAnsi"/>
          <w:i/>
          <w:szCs w:val="22"/>
        </w:rPr>
        <w:t>Citizenship and Constitutional Law</w:t>
      </w:r>
      <w:r>
        <w:rPr>
          <w:rFonts w:asciiTheme="majorHAnsi" w:hAnsiTheme="majorHAnsi"/>
          <w:szCs w:val="22"/>
        </w:rPr>
        <w:t>, Edward Elgar, 2018</w:t>
      </w:r>
    </w:p>
    <w:p w:rsidR="00A23A88" w:rsidRPr="004C7F04" w:rsidRDefault="00A23A88" w:rsidP="00A23A88">
      <w:pPr>
        <w:spacing w:after="20"/>
        <w:ind w:left="720" w:hanging="72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‘</w:t>
      </w:r>
      <w:r w:rsidRPr="004C7F04">
        <w:rPr>
          <w:rFonts w:asciiTheme="majorHAnsi" w:hAnsiTheme="majorHAnsi"/>
          <w:szCs w:val="22"/>
        </w:rPr>
        <w:t>The Interpretation of European Uni</w:t>
      </w:r>
      <w:bookmarkStart w:id="0" w:name="_GoBack"/>
      <w:bookmarkEnd w:id="0"/>
      <w:r w:rsidRPr="004C7F04">
        <w:rPr>
          <w:rFonts w:asciiTheme="majorHAnsi" w:hAnsiTheme="majorHAnsi"/>
          <w:szCs w:val="22"/>
        </w:rPr>
        <w:t xml:space="preserve">on Citizenship’, (1998) 61 </w:t>
      </w:r>
      <w:r w:rsidRPr="004C7F04">
        <w:rPr>
          <w:rFonts w:asciiTheme="majorHAnsi" w:hAnsiTheme="majorHAnsi"/>
          <w:i/>
          <w:szCs w:val="22"/>
        </w:rPr>
        <w:t>Modern Law Review</w:t>
      </w:r>
      <w:r w:rsidRPr="004C7F04">
        <w:rPr>
          <w:rFonts w:asciiTheme="majorHAnsi" w:hAnsiTheme="majorHAnsi"/>
          <w:szCs w:val="22"/>
        </w:rPr>
        <w:t xml:space="preserve"> 293-317.</w:t>
      </w:r>
    </w:p>
    <w:p w:rsidR="00A23A88" w:rsidRPr="004C7F04" w:rsidRDefault="00A23A88" w:rsidP="00A23A88">
      <w:pPr>
        <w:spacing w:after="20"/>
        <w:ind w:left="720" w:hanging="720"/>
        <w:rPr>
          <w:rFonts w:asciiTheme="majorHAnsi" w:hAnsiTheme="majorHAnsi"/>
          <w:szCs w:val="22"/>
        </w:rPr>
      </w:pPr>
      <w:r w:rsidRPr="004C7F04">
        <w:rPr>
          <w:rFonts w:asciiTheme="majorHAnsi" w:hAnsiTheme="majorHAnsi"/>
          <w:szCs w:val="22"/>
        </w:rPr>
        <w:t xml:space="preserve">‘The emergence of postnational constitutionalism in the European Union’, (1999) 6 </w:t>
      </w:r>
      <w:r w:rsidRPr="004C7F04">
        <w:rPr>
          <w:rFonts w:asciiTheme="majorHAnsi" w:hAnsiTheme="majorHAnsi"/>
          <w:i/>
          <w:szCs w:val="22"/>
        </w:rPr>
        <w:t>Journal of European Public Policy</w:t>
      </w:r>
      <w:r w:rsidRPr="004C7F04">
        <w:rPr>
          <w:rFonts w:asciiTheme="majorHAnsi" w:hAnsiTheme="majorHAnsi"/>
          <w:szCs w:val="22"/>
        </w:rPr>
        <w:t xml:space="preserve"> 579-597</w:t>
      </w:r>
    </w:p>
    <w:p w:rsidR="00A23A88" w:rsidRPr="004C7F04" w:rsidRDefault="00A23A88" w:rsidP="00A23A88">
      <w:pPr>
        <w:spacing w:after="20"/>
        <w:ind w:left="720" w:hanging="720"/>
        <w:rPr>
          <w:rFonts w:asciiTheme="majorHAnsi" w:hAnsiTheme="majorHAnsi"/>
          <w:szCs w:val="22"/>
        </w:rPr>
      </w:pPr>
      <w:r w:rsidRPr="004C7F04">
        <w:rPr>
          <w:rFonts w:asciiTheme="majorHAnsi" w:hAnsiTheme="majorHAnsi"/>
          <w:szCs w:val="22"/>
        </w:rPr>
        <w:t xml:space="preserve">(with Anja Lansbergen) ‘National Membership Models in a Multi-Level Europe’, (2010) 8 </w:t>
      </w:r>
      <w:r w:rsidRPr="004C7F04">
        <w:rPr>
          <w:rFonts w:asciiTheme="majorHAnsi" w:hAnsiTheme="majorHAnsi"/>
          <w:i/>
          <w:szCs w:val="22"/>
        </w:rPr>
        <w:t>International Journal of Constitutional Law (I-CON)</w:t>
      </w:r>
      <w:r w:rsidRPr="004C7F04">
        <w:rPr>
          <w:rFonts w:asciiTheme="majorHAnsi" w:hAnsiTheme="majorHAnsi"/>
          <w:szCs w:val="22"/>
        </w:rPr>
        <w:t xml:space="preserve"> 50-71.</w:t>
      </w:r>
    </w:p>
    <w:p w:rsidR="00A23A88" w:rsidRDefault="00A23A88" w:rsidP="00A23A88">
      <w:pPr>
        <w:spacing w:after="20"/>
        <w:ind w:left="720" w:hanging="720"/>
        <w:rPr>
          <w:rFonts w:asciiTheme="majorHAnsi" w:hAnsiTheme="majorHAnsi"/>
          <w:bCs/>
          <w:szCs w:val="22"/>
          <w:lang w:val="en-GB"/>
        </w:rPr>
      </w:pPr>
      <w:r>
        <w:rPr>
          <w:rFonts w:asciiTheme="majorHAnsi" w:hAnsiTheme="majorHAnsi"/>
          <w:szCs w:val="22"/>
        </w:rPr>
        <w:t>(with Nina Miller), ‘</w:t>
      </w:r>
      <w:r w:rsidRPr="00AD4286">
        <w:rPr>
          <w:rFonts w:asciiTheme="majorHAnsi" w:hAnsiTheme="majorHAnsi"/>
          <w:bCs/>
          <w:szCs w:val="22"/>
          <w:lang w:val="en-GB"/>
        </w:rPr>
        <w:t>When legal worlds collide: an exploration of what happens when EU free movement law meets UK immigration law</w:t>
      </w:r>
      <w:r>
        <w:rPr>
          <w:rFonts w:asciiTheme="majorHAnsi" w:hAnsiTheme="majorHAnsi"/>
          <w:bCs/>
          <w:szCs w:val="22"/>
          <w:lang w:val="en-GB"/>
        </w:rPr>
        <w:t xml:space="preserve">’, (2013) 38 </w:t>
      </w:r>
      <w:r>
        <w:rPr>
          <w:rFonts w:asciiTheme="majorHAnsi" w:hAnsiTheme="majorHAnsi"/>
          <w:bCs/>
          <w:i/>
          <w:szCs w:val="22"/>
          <w:lang w:val="en-GB"/>
        </w:rPr>
        <w:t>European Law Review</w:t>
      </w:r>
      <w:r>
        <w:rPr>
          <w:rFonts w:asciiTheme="majorHAnsi" w:hAnsiTheme="majorHAnsi"/>
          <w:bCs/>
          <w:szCs w:val="22"/>
          <w:lang w:val="en-GB"/>
        </w:rPr>
        <w:t xml:space="preserve"> 137-166.</w:t>
      </w:r>
    </w:p>
    <w:p w:rsidR="00A23A88" w:rsidRPr="00BB5269" w:rsidRDefault="00A23A88" w:rsidP="00A23A88">
      <w:pPr>
        <w:spacing w:after="20"/>
        <w:ind w:left="720" w:hanging="720"/>
        <w:rPr>
          <w:rFonts w:asciiTheme="majorHAnsi" w:hAnsiTheme="majorHAnsi"/>
          <w:szCs w:val="22"/>
          <w:lang w:val="en-GB"/>
        </w:rPr>
      </w:pPr>
      <w:r w:rsidRPr="003E50D8">
        <w:rPr>
          <w:rFonts w:asciiTheme="majorHAnsi" w:hAnsiTheme="majorHAnsi"/>
          <w:szCs w:val="22"/>
        </w:rPr>
        <w:t>‘</w:t>
      </w:r>
      <w:r w:rsidRPr="003E50D8">
        <w:rPr>
          <w:rFonts w:asciiTheme="majorHAnsi" w:hAnsiTheme="majorHAnsi"/>
          <w:szCs w:val="22"/>
          <w:lang w:val="en-GB"/>
        </w:rPr>
        <w:t>Between law and political truth? Member State preferences, EU free movement rules and national immigration law</w:t>
      </w:r>
      <w:r>
        <w:rPr>
          <w:rFonts w:asciiTheme="majorHAnsi" w:hAnsiTheme="majorHAnsi"/>
          <w:szCs w:val="22"/>
          <w:lang w:val="en-GB"/>
        </w:rPr>
        <w:t xml:space="preserve">’, (2015) 17/1 </w:t>
      </w:r>
      <w:r w:rsidRPr="00042B63">
        <w:rPr>
          <w:rFonts w:asciiTheme="majorHAnsi" w:hAnsiTheme="majorHAnsi"/>
          <w:i/>
          <w:szCs w:val="22"/>
          <w:lang w:val="en-GB"/>
        </w:rPr>
        <w:t>Cambridge Yearbook of European Legal Studies</w:t>
      </w:r>
      <w:r>
        <w:rPr>
          <w:rFonts w:asciiTheme="majorHAnsi" w:hAnsiTheme="majorHAnsi"/>
          <w:szCs w:val="22"/>
          <w:lang w:val="en-GB"/>
        </w:rPr>
        <w:t xml:space="preserve"> </w:t>
      </w:r>
      <w:r w:rsidRPr="00042B63">
        <w:rPr>
          <w:rFonts w:asciiTheme="majorHAnsi" w:hAnsiTheme="majorHAnsi"/>
          <w:szCs w:val="22"/>
          <w:lang w:val="en-GB"/>
        </w:rPr>
        <w:t>247-286</w:t>
      </w:r>
      <w:r>
        <w:rPr>
          <w:rFonts w:asciiTheme="majorHAnsi" w:hAnsiTheme="majorHAnsi"/>
          <w:szCs w:val="22"/>
          <w:lang w:val="en-GB"/>
        </w:rPr>
        <w:t>.</w:t>
      </w:r>
    </w:p>
    <w:p w:rsidR="00A23A88" w:rsidRPr="00A80B3C" w:rsidRDefault="00A23A88" w:rsidP="00A23A88">
      <w:pPr>
        <w:widowControl w:val="0"/>
        <w:autoSpaceDE w:val="0"/>
        <w:autoSpaceDN w:val="0"/>
        <w:adjustRightInd w:val="0"/>
        <w:spacing w:after="20"/>
        <w:ind w:left="720" w:hanging="720"/>
        <w:rPr>
          <w:rFonts w:asciiTheme="majorHAnsi" w:hAnsiTheme="majorHAnsi"/>
          <w:szCs w:val="22"/>
        </w:rPr>
      </w:pPr>
      <w:r w:rsidRPr="00A80B3C">
        <w:rPr>
          <w:rFonts w:asciiTheme="majorHAnsi" w:hAnsiTheme="majorHAnsi"/>
          <w:szCs w:val="22"/>
        </w:rPr>
        <w:t>‘</w:t>
      </w:r>
      <w:r w:rsidRPr="00A80B3C">
        <w:rPr>
          <w:rFonts w:asciiTheme="majorHAnsi" w:hAnsiTheme="majorHAnsi"/>
          <w:bCs/>
          <w:szCs w:val="22"/>
          <w:lang w:val="en-GB"/>
        </w:rPr>
        <w:t xml:space="preserve">The quintessentially democratic act? Democracy, political community and citizenship in and after the UK’s EU referendum of June 2016’, </w:t>
      </w:r>
      <w:r>
        <w:rPr>
          <w:rFonts w:asciiTheme="majorHAnsi" w:hAnsiTheme="majorHAnsi"/>
          <w:bCs/>
          <w:szCs w:val="22"/>
          <w:lang w:val="en-GB"/>
        </w:rPr>
        <w:t xml:space="preserve">(2017) 39(5) </w:t>
      </w:r>
      <w:r w:rsidRPr="00A80B3C">
        <w:rPr>
          <w:rFonts w:asciiTheme="majorHAnsi" w:eastAsiaTheme="minorEastAsia" w:hAnsiTheme="majorHAnsi" w:cs="0N\Vˇ"/>
          <w:i/>
          <w:szCs w:val="22"/>
        </w:rPr>
        <w:t>Journal of European Integration</w:t>
      </w:r>
      <w:r>
        <w:rPr>
          <w:rFonts w:asciiTheme="majorHAnsi" w:eastAsiaTheme="minorEastAsia" w:hAnsiTheme="majorHAnsi" w:cs="0N\Vˇ"/>
          <w:szCs w:val="22"/>
        </w:rPr>
        <w:t xml:space="preserve"> </w:t>
      </w:r>
      <w:r w:rsidRPr="00673339">
        <w:rPr>
          <w:rFonts w:asciiTheme="majorHAnsi" w:eastAsiaTheme="minorEastAsia" w:hAnsiTheme="majorHAnsi" w:cs="0N\Vˇ"/>
          <w:szCs w:val="22"/>
        </w:rPr>
        <w:t xml:space="preserve"> 559-574</w:t>
      </w:r>
      <w:r w:rsidRPr="00A80B3C">
        <w:rPr>
          <w:rFonts w:asciiTheme="majorHAnsi" w:eastAsiaTheme="minorEastAsia" w:hAnsiTheme="majorHAnsi" w:cs="0N\Vˇ"/>
          <w:szCs w:val="22"/>
        </w:rPr>
        <w:t xml:space="preserve"> </w:t>
      </w:r>
      <w:hyperlink r:id="rId4" w:history="1">
        <w:r w:rsidRPr="001169FD">
          <w:rPr>
            <w:rStyle w:val="Hyperlink"/>
            <w:rFonts w:asciiTheme="majorHAnsi" w:eastAsiaTheme="minorEastAsia" w:hAnsiTheme="majorHAnsi" w:cs="0N\Vˇ"/>
            <w:szCs w:val="22"/>
          </w:rPr>
          <w:t>http://dx.doi.org/10.1080/07036337.2017.1333119</w:t>
        </w:r>
      </w:hyperlink>
      <w:r>
        <w:rPr>
          <w:rFonts w:asciiTheme="majorHAnsi" w:eastAsiaTheme="minorEastAsia" w:hAnsiTheme="majorHAnsi" w:cs="0N\Vˇ"/>
          <w:szCs w:val="22"/>
        </w:rPr>
        <w:t xml:space="preserve">. </w:t>
      </w:r>
    </w:p>
    <w:p w:rsidR="00A23A88" w:rsidRDefault="00A23A88" w:rsidP="00A23A88">
      <w:pPr>
        <w:spacing w:after="20"/>
        <w:ind w:left="720" w:hanging="720"/>
        <w:rPr>
          <w:rFonts w:asciiTheme="majorHAnsi" w:hAnsiTheme="majorHAnsi"/>
          <w:szCs w:val="22"/>
        </w:rPr>
      </w:pPr>
      <w:r w:rsidRPr="00793690">
        <w:rPr>
          <w:rFonts w:asciiTheme="majorHAnsi" w:hAnsiTheme="majorHAnsi"/>
          <w:szCs w:val="22"/>
        </w:rPr>
        <w:t>‘</w:t>
      </w:r>
      <w:r>
        <w:rPr>
          <w:rFonts w:asciiTheme="majorHAnsi" w:hAnsiTheme="majorHAnsi"/>
          <w:szCs w:val="22"/>
          <w:lang w:val="en-GB"/>
        </w:rPr>
        <w:t>Integration, Dis-integration and Citizenship in a Troubled European Union</w:t>
      </w:r>
      <w:r w:rsidRPr="00793690">
        <w:rPr>
          <w:rFonts w:asciiTheme="majorHAnsi" w:hAnsiTheme="majorHAnsi"/>
          <w:szCs w:val="22"/>
        </w:rPr>
        <w:t>’</w:t>
      </w:r>
      <w:r w:rsidRPr="00F6780E">
        <w:rPr>
          <w:rFonts w:asciiTheme="majorHAnsi" w:hAnsiTheme="majorHAnsi"/>
          <w:szCs w:val="22"/>
        </w:rPr>
        <w:t>,</w:t>
      </w:r>
      <w:r>
        <w:rPr>
          <w:rFonts w:asciiTheme="majorHAnsi" w:hAnsiTheme="majorHAnsi"/>
          <w:szCs w:val="22"/>
        </w:rPr>
        <w:t xml:space="preserve"> for a special issue of </w:t>
      </w:r>
      <w:r>
        <w:rPr>
          <w:rFonts w:asciiTheme="majorHAnsi" w:hAnsiTheme="majorHAnsi"/>
          <w:i/>
          <w:szCs w:val="22"/>
        </w:rPr>
        <w:t>Ethnopolitics</w:t>
      </w:r>
      <w:r>
        <w:rPr>
          <w:rFonts w:asciiTheme="majorHAnsi" w:hAnsiTheme="majorHAnsi"/>
          <w:szCs w:val="22"/>
        </w:rPr>
        <w:t xml:space="preserve"> on ‘</w:t>
      </w:r>
      <w:r w:rsidRPr="00E35A49">
        <w:rPr>
          <w:rFonts w:asciiTheme="majorHAnsi" w:hAnsiTheme="majorHAnsi"/>
          <w:szCs w:val="22"/>
        </w:rPr>
        <w:t>An ‘Ever Looser Union’? Citizenship in the changing political map of Europe</w:t>
      </w:r>
      <w:r>
        <w:rPr>
          <w:rFonts w:asciiTheme="majorHAnsi" w:hAnsiTheme="majorHAnsi"/>
          <w:szCs w:val="22"/>
        </w:rPr>
        <w:t>’, eds. Jean-Thomas Arrighi and Dejan Stjepanovic, 2019 (under review)</w:t>
      </w:r>
    </w:p>
    <w:p w:rsidR="00A23A88" w:rsidRPr="004C7F04" w:rsidRDefault="00A23A88" w:rsidP="00A23A88">
      <w:pPr>
        <w:spacing w:after="20"/>
        <w:ind w:left="720" w:hanging="720"/>
        <w:rPr>
          <w:rFonts w:asciiTheme="majorHAnsi" w:hAnsiTheme="majorHAnsi"/>
          <w:szCs w:val="22"/>
        </w:rPr>
      </w:pPr>
      <w:r w:rsidRPr="004C7F04">
        <w:rPr>
          <w:rFonts w:asciiTheme="majorHAnsi" w:hAnsiTheme="majorHAnsi"/>
          <w:szCs w:val="22"/>
        </w:rPr>
        <w:t xml:space="preserve">‘Citizenship of the Union: Towards Post-national Membership?’, in Academy of European Law (ed.), </w:t>
      </w:r>
      <w:r w:rsidRPr="004C7F04">
        <w:rPr>
          <w:rFonts w:asciiTheme="majorHAnsi" w:hAnsiTheme="majorHAnsi"/>
          <w:i/>
          <w:szCs w:val="22"/>
        </w:rPr>
        <w:t>Collected Courses of the Academy of European Law</w:t>
      </w:r>
      <w:r w:rsidRPr="004C7F04">
        <w:rPr>
          <w:rFonts w:asciiTheme="majorHAnsi" w:hAnsiTheme="majorHAnsi"/>
          <w:szCs w:val="22"/>
        </w:rPr>
        <w:t>, vol VI, Book 1, Kluwer Law Internatio</w:t>
      </w:r>
      <w:r>
        <w:rPr>
          <w:rFonts w:asciiTheme="majorHAnsi" w:hAnsiTheme="majorHAnsi"/>
          <w:szCs w:val="22"/>
        </w:rPr>
        <w:t>nal, The Hague, 1998, 237-347</w:t>
      </w:r>
    </w:p>
    <w:p w:rsidR="00A23A88" w:rsidRPr="004C7F04" w:rsidRDefault="00A23A88" w:rsidP="00A23A88">
      <w:pPr>
        <w:spacing w:after="20"/>
        <w:ind w:left="720" w:hanging="720"/>
        <w:rPr>
          <w:rFonts w:asciiTheme="majorHAnsi" w:hAnsiTheme="majorHAnsi"/>
          <w:szCs w:val="22"/>
        </w:rPr>
      </w:pPr>
      <w:r w:rsidRPr="004C7F04">
        <w:rPr>
          <w:rFonts w:asciiTheme="majorHAnsi" w:hAnsiTheme="majorHAnsi"/>
          <w:szCs w:val="22"/>
        </w:rPr>
        <w:t xml:space="preserve">(with Antje Wiener) ‘The Paradox of the ‘European Polity’’, in M. Green Cowles and M. Smith (eds) </w:t>
      </w:r>
      <w:r w:rsidRPr="004C7F04">
        <w:rPr>
          <w:rFonts w:asciiTheme="majorHAnsi" w:hAnsiTheme="majorHAnsi"/>
          <w:i/>
          <w:szCs w:val="22"/>
        </w:rPr>
        <w:t>State of the Union, Volume 5, Risks, Reforms, Resistance or Revival</w:t>
      </w:r>
      <w:r w:rsidRPr="004C7F04">
        <w:rPr>
          <w:rFonts w:asciiTheme="majorHAnsi" w:hAnsiTheme="majorHAnsi"/>
          <w:szCs w:val="22"/>
        </w:rPr>
        <w:t>, Oxfor</w:t>
      </w:r>
      <w:r>
        <w:rPr>
          <w:rFonts w:asciiTheme="majorHAnsi" w:hAnsiTheme="majorHAnsi"/>
          <w:szCs w:val="22"/>
        </w:rPr>
        <w:t>d University Press, 2000, 64-88</w:t>
      </w:r>
    </w:p>
    <w:p w:rsidR="00A23A88" w:rsidRPr="004C7F04" w:rsidRDefault="00A23A88" w:rsidP="00A23A88">
      <w:pPr>
        <w:spacing w:after="20"/>
        <w:ind w:left="720" w:hanging="720"/>
        <w:rPr>
          <w:rFonts w:asciiTheme="majorHAnsi" w:hAnsiTheme="majorHAnsi"/>
          <w:szCs w:val="22"/>
        </w:rPr>
      </w:pPr>
      <w:r w:rsidRPr="004C7F04">
        <w:rPr>
          <w:rFonts w:asciiTheme="majorHAnsi" w:hAnsiTheme="majorHAnsi"/>
          <w:szCs w:val="22"/>
        </w:rPr>
        <w:t xml:space="preserve">‘Sovereignty at the Boundaries of the Polity’, in N. Walker (ed.), </w:t>
      </w:r>
      <w:r w:rsidRPr="004C7F04">
        <w:rPr>
          <w:rFonts w:asciiTheme="majorHAnsi" w:hAnsiTheme="majorHAnsi"/>
          <w:i/>
          <w:szCs w:val="22"/>
        </w:rPr>
        <w:t>Sovereignty in Transformation</w:t>
      </w:r>
      <w:r w:rsidRPr="004C7F04">
        <w:rPr>
          <w:rFonts w:asciiTheme="majorHAnsi" w:hAnsiTheme="majorHAnsi"/>
          <w:szCs w:val="22"/>
        </w:rPr>
        <w:t>, Oxford: Hart Publishing, 2003 461-50</w:t>
      </w:r>
      <w:r>
        <w:rPr>
          <w:rFonts w:asciiTheme="majorHAnsi" w:hAnsiTheme="majorHAnsi"/>
          <w:szCs w:val="22"/>
        </w:rPr>
        <w:t>0</w:t>
      </w:r>
    </w:p>
    <w:p w:rsidR="00A23A88" w:rsidRPr="004C7F04" w:rsidRDefault="00A23A88" w:rsidP="00A23A88">
      <w:pPr>
        <w:spacing w:after="20"/>
        <w:ind w:left="720" w:hanging="720"/>
        <w:rPr>
          <w:rFonts w:asciiTheme="majorHAnsi" w:hAnsiTheme="majorHAnsi"/>
          <w:iCs/>
          <w:szCs w:val="22"/>
          <w:lang w:val="en-GB"/>
        </w:rPr>
      </w:pPr>
      <w:r w:rsidRPr="004C7F04">
        <w:rPr>
          <w:rFonts w:asciiTheme="majorHAnsi" w:hAnsiTheme="majorHAnsi"/>
          <w:szCs w:val="22"/>
        </w:rPr>
        <w:t xml:space="preserve">‘Citizenship and Electoral Rights in the Multi-Level ‘Euro-Polity’: the case of the United Kingdom’, in H. Lindahl (ed.), </w:t>
      </w:r>
      <w:r w:rsidRPr="004C7F04">
        <w:rPr>
          <w:rFonts w:asciiTheme="majorHAnsi" w:hAnsiTheme="majorHAnsi"/>
          <w:i/>
          <w:iCs/>
          <w:szCs w:val="22"/>
          <w:lang w:val="en-GB"/>
        </w:rPr>
        <w:t>A Right to Inclusion and Exclusion? Normative Fault Lines of the EU’s Area of Freedom, Security and Justice</w:t>
      </w:r>
      <w:r w:rsidRPr="004C7F04">
        <w:rPr>
          <w:rFonts w:asciiTheme="majorHAnsi" w:hAnsiTheme="majorHAnsi"/>
          <w:iCs/>
          <w:szCs w:val="22"/>
          <w:lang w:val="en-GB"/>
        </w:rPr>
        <w:t>, Oxford, Hart Publishing, 2009, 241-253.</w:t>
      </w:r>
    </w:p>
    <w:p w:rsidR="00A23A88" w:rsidRPr="004C7F04" w:rsidRDefault="00A23A88" w:rsidP="00A23A88">
      <w:pPr>
        <w:spacing w:after="20"/>
        <w:ind w:left="720" w:hanging="720"/>
        <w:rPr>
          <w:rFonts w:asciiTheme="majorHAnsi" w:hAnsiTheme="majorHAnsi"/>
          <w:szCs w:val="22"/>
        </w:rPr>
      </w:pPr>
      <w:r w:rsidRPr="004C7F04">
        <w:rPr>
          <w:rFonts w:asciiTheme="majorHAnsi" w:hAnsiTheme="majorHAnsi"/>
          <w:szCs w:val="22"/>
        </w:rPr>
        <w:t xml:space="preserve">‘Political Rights and Multilevel Citizenship in Europe’, in E. Guild, K. Groenendijk and S. Carrera (eds.), </w:t>
      </w:r>
      <w:r w:rsidRPr="004C7F04">
        <w:rPr>
          <w:rFonts w:asciiTheme="majorHAnsi" w:hAnsiTheme="majorHAnsi"/>
          <w:i/>
          <w:szCs w:val="22"/>
        </w:rPr>
        <w:t>Illiberal Liberal States: Immigration, Citizenship and Integration in the EU</w:t>
      </w:r>
      <w:r w:rsidRPr="004C7F04">
        <w:rPr>
          <w:rFonts w:asciiTheme="majorHAnsi" w:hAnsiTheme="majorHAnsi"/>
          <w:szCs w:val="22"/>
        </w:rPr>
        <w:t>, Farnham, Ashgate, 2009, 29-49.</w:t>
      </w:r>
    </w:p>
    <w:p w:rsidR="00A23A88" w:rsidRPr="00A802B4" w:rsidRDefault="00A23A88" w:rsidP="00A23A88">
      <w:pPr>
        <w:spacing w:after="20"/>
        <w:ind w:left="720" w:hanging="720"/>
        <w:rPr>
          <w:rFonts w:asciiTheme="majorHAnsi" w:hAnsiTheme="majorHAnsi"/>
          <w:bCs/>
          <w:szCs w:val="22"/>
        </w:rPr>
      </w:pPr>
      <w:r>
        <w:rPr>
          <w:rFonts w:asciiTheme="majorHAnsi" w:hAnsiTheme="majorHAnsi"/>
          <w:bCs/>
          <w:szCs w:val="22"/>
        </w:rPr>
        <w:t>‘C</w:t>
      </w:r>
      <w:r w:rsidRPr="004C7F04">
        <w:rPr>
          <w:rFonts w:asciiTheme="majorHAnsi" w:hAnsiTheme="majorHAnsi"/>
          <w:bCs/>
          <w:szCs w:val="22"/>
        </w:rPr>
        <w:t xml:space="preserve">itizenship: contrasting dynamics at the </w:t>
      </w:r>
      <w:r w:rsidRPr="00A802B4">
        <w:rPr>
          <w:rFonts w:asciiTheme="majorHAnsi" w:hAnsiTheme="majorHAnsi"/>
          <w:bCs/>
          <w:szCs w:val="22"/>
        </w:rPr>
        <w:t xml:space="preserve">interface of integration and constitutionalism’, in P. Craig and G. de Búrca (eds.), </w:t>
      </w:r>
      <w:r w:rsidRPr="00A802B4">
        <w:rPr>
          <w:rFonts w:asciiTheme="majorHAnsi" w:hAnsiTheme="majorHAnsi"/>
          <w:bCs/>
          <w:i/>
          <w:szCs w:val="22"/>
        </w:rPr>
        <w:t>The Evolution of EU Law</w:t>
      </w:r>
      <w:r w:rsidRPr="00A802B4">
        <w:rPr>
          <w:rFonts w:asciiTheme="majorHAnsi" w:hAnsiTheme="majorHAnsi"/>
          <w:bCs/>
          <w:szCs w:val="22"/>
        </w:rPr>
        <w:t>, 2</w:t>
      </w:r>
      <w:r w:rsidRPr="00A802B4">
        <w:rPr>
          <w:rFonts w:asciiTheme="majorHAnsi" w:hAnsiTheme="majorHAnsi"/>
          <w:bCs/>
          <w:szCs w:val="22"/>
          <w:vertAlign w:val="superscript"/>
        </w:rPr>
        <w:t>nd</w:t>
      </w:r>
      <w:r>
        <w:rPr>
          <w:rFonts w:asciiTheme="majorHAnsi" w:hAnsiTheme="majorHAnsi"/>
          <w:bCs/>
          <w:szCs w:val="22"/>
        </w:rPr>
        <w:t xml:space="preserve"> Edition, OUP, 2011, 575-609 </w:t>
      </w:r>
    </w:p>
    <w:p w:rsidR="00A23A88" w:rsidRPr="004C7F04" w:rsidRDefault="00A23A88" w:rsidP="00A23A88">
      <w:pPr>
        <w:spacing w:after="20"/>
        <w:ind w:left="720" w:hanging="720"/>
        <w:rPr>
          <w:rFonts w:asciiTheme="majorHAnsi" w:hAnsiTheme="majorHAnsi"/>
          <w:szCs w:val="22"/>
        </w:rPr>
      </w:pPr>
      <w:r w:rsidRPr="004C7F04">
        <w:rPr>
          <w:rFonts w:asciiTheme="majorHAnsi" w:hAnsiTheme="majorHAnsi"/>
          <w:szCs w:val="22"/>
        </w:rPr>
        <w:t>‘</w:t>
      </w:r>
      <w:r w:rsidRPr="004C7F04">
        <w:rPr>
          <w:rFonts w:asciiTheme="majorHAnsi" w:hAnsiTheme="majorHAnsi"/>
          <w:bCs/>
          <w:szCs w:val="22"/>
          <w:lang w:val="en-GB"/>
        </w:rPr>
        <w:t xml:space="preserve">The constitutional mosaic across the boundaries of the European Union: citizenship regimes in the new states of South Eastern Europe’, in </w:t>
      </w:r>
      <w:r w:rsidRPr="004C7F04">
        <w:rPr>
          <w:rFonts w:asciiTheme="majorHAnsi" w:hAnsiTheme="majorHAnsi"/>
          <w:szCs w:val="22"/>
        </w:rPr>
        <w:t xml:space="preserve">N. Walker, S. Tierney and J. Shaw (eds.), </w:t>
      </w:r>
      <w:r w:rsidRPr="004C7F04">
        <w:rPr>
          <w:rFonts w:asciiTheme="majorHAnsi" w:hAnsiTheme="majorHAnsi"/>
          <w:i/>
          <w:szCs w:val="22"/>
        </w:rPr>
        <w:t>Europe’s Constitutional Mosaic</w:t>
      </w:r>
      <w:r w:rsidRPr="004C7F04">
        <w:rPr>
          <w:rFonts w:asciiTheme="majorHAnsi" w:hAnsiTheme="majorHAnsi"/>
          <w:szCs w:val="22"/>
        </w:rPr>
        <w:t>, Hart, 2011, 137-170</w:t>
      </w:r>
    </w:p>
    <w:p w:rsidR="00A23A88" w:rsidRDefault="00A23A88" w:rsidP="00A23A88">
      <w:pPr>
        <w:spacing w:after="20"/>
        <w:ind w:left="720" w:hanging="720"/>
        <w:rPr>
          <w:rFonts w:asciiTheme="majorHAnsi" w:hAnsiTheme="majorHAnsi" w:cs="Lucida Grande"/>
          <w:lang w:val="en-GB"/>
        </w:rPr>
      </w:pPr>
      <w:r w:rsidRPr="00B91372">
        <w:rPr>
          <w:rFonts w:asciiTheme="majorHAnsi" w:hAnsiTheme="majorHAnsi" w:cs="Lucida Grande"/>
          <w:lang w:val="en-GB"/>
        </w:rPr>
        <w:t>‘Unions and citizens: membership status and political rights in the Scotland, the UK and the EU</w:t>
      </w:r>
      <w:r>
        <w:rPr>
          <w:rFonts w:asciiTheme="majorHAnsi" w:hAnsiTheme="majorHAnsi" w:cs="Lucida Grande"/>
          <w:lang w:val="en-GB"/>
        </w:rPr>
        <w:t>’, in C. Closa (ed.),</w:t>
      </w:r>
      <w:r w:rsidRPr="00B91372">
        <w:rPr>
          <w:rFonts w:asciiTheme="majorHAnsi" w:hAnsiTheme="majorHAnsi" w:cs="Lucida Grande"/>
          <w:i/>
        </w:rPr>
        <w:t xml:space="preserve"> </w:t>
      </w:r>
      <w:r w:rsidRPr="00B91372">
        <w:rPr>
          <w:rFonts w:asciiTheme="majorHAnsi" w:hAnsiTheme="majorHAnsi" w:cs="Lucida Grande"/>
          <w:bCs/>
          <w:i/>
        </w:rPr>
        <w:t>Secession from a Member State and Withdrawal from the Eu</w:t>
      </w:r>
      <w:r>
        <w:rPr>
          <w:rFonts w:asciiTheme="majorHAnsi" w:hAnsiTheme="majorHAnsi" w:cs="Lucida Grande"/>
          <w:bCs/>
          <w:i/>
        </w:rPr>
        <w:t>ropean Union</w:t>
      </w:r>
      <w:r>
        <w:rPr>
          <w:rFonts w:asciiTheme="majorHAnsi" w:hAnsiTheme="majorHAnsi" w:cs="Lucida Grande"/>
          <w:bCs/>
        </w:rPr>
        <w:t xml:space="preserve">, Cambridge University </w:t>
      </w:r>
      <w:r w:rsidRPr="00CB0390">
        <w:rPr>
          <w:rFonts w:asciiTheme="majorHAnsi" w:hAnsiTheme="majorHAnsi" w:cs="Lucida Grande"/>
          <w:bCs/>
        </w:rPr>
        <w:t>Press</w:t>
      </w:r>
      <w:r>
        <w:rPr>
          <w:rFonts w:asciiTheme="majorHAnsi" w:hAnsiTheme="majorHAnsi" w:cs="Lucida Grande"/>
          <w:bCs/>
        </w:rPr>
        <w:t>, 2017,</w:t>
      </w:r>
      <w:r w:rsidRPr="00CB0390">
        <w:rPr>
          <w:rFonts w:asciiTheme="majorHAnsi" w:hAnsiTheme="majorHAnsi" w:cs="Lucida Grande"/>
          <w:bCs/>
        </w:rPr>
        <w:t xml:space="preserve"> </w:t>
      </w:r>
      <w:r>
        <w:rPr>
          <w:rFonts w:asciiTheme="majorHAnsi" w:hAnsiTheme="majorHAnsi" w:cs="Lucida Grande"/>
          <w:bCs/>
        </w:rPr>
        <w:t>153-186</w:t>
      </w:r>
    </w:p>
    <w:p w:rsidR="00A23A88" w:rsidRDefault="00A23A88" w:rsidP="00A23A88">
      <w:pPr>
        <w:pStyle w:val="Default"/>
        <w:spacing w:after="20"/>
        <w:ind w:left="720" w:hanging="720"/>
        <w:rPr>
          <w:rFonts w:asciiTheme="majorHAnsi" w:hAnsiTheme="majorHAnsi"/>
          <w:sz w:val="22"/>
          <w:szCs w:val="22"/>
        </w:rPr>
      </w:pPr>
      <w:r w:rsidRPr="00B91372">
        <w:rPr>
          <w:rFonts w:asciiTheme="majorHAnsi" w:hAnsiTheme="majorHAnsi"/>
          <w:sz w:val="22"/>
          <w:szCs w:val="22"/>
        </w:rPr>
        <w:t>‘Citizenship and the Franchise’, in R. Baub</w:t>
      </w:r>
      <w:r w:rsidRPr="00B91372">
        <w:rPr>
          <w:rFonts w:ascii="Calibri" w:hAnsi="Calibri"/>
          <w:sz w:val="22"/>
          <w:szCs w:val="22"/>
        </w:rPr>
        <w:t>ö</w:t>
      </w:r>
      <w:r w:rsidRPr="00B91372">
        <w:rPr>
          <w:rFonts w:asciiTheme="majorHAnsi" w:hAnsiTheme="majorHAnsi"/>
          <w:sz w:val="22"/>
          <w:szCs w:val="22"/>
        </w:rPr>
        <w:t>ck, I. Bloemraed, A. Shachar and M. Vink (eds.)</w:t>
      </w:r>
      <w:r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i/>
          <w:sz w:val="22"/>
          <w:szCs w:val="22"/>
        </w:rPr>
        <w:t>The Oxford Handbook of Citizenship</w:t>
      </w:r>
      <w:r>
        <w:rPr>
          <w:rFonts w:asciiTheme="majorHAnsi" w:hAnsiTheme="majorHAnsi"/>
          <w:sz w:val="22"/>
          <w:szCs w:val="22"/>
        </w:rPr>
        <w:t>, Oxford University Press, 2017, 290-312</w:t>
      </w:r>
    </w:p>
    <w:p w:rsidR="00A23A88" w:rsidRPr="001435E4" w:rsidRDefault="00A23A88" w:rsidP="00A23A88">
      <w:pPr>
        <w:pStyle w:val="Default"/>
        <w:spacing w:after="20"/>
        <w:ind w:left="720" w:hanging="720"/>
        <w:rPr>
          <w:rFonts w:asciiTheme="majorHAnsi" w:hAnsiTheme="majorHAnsi"/>
          <w:szCs w:val="22"/>
          <w:lang w:val="en-GB"/>
        </w:rPr>
      </w:pPr>
      <w:r w:rsidRPr="00F01AEC">
        <w:rPr>
          <w:rFonts w:asciiTheme="majorHAnsi" w:hAnsiTheme="majorHAnsi"/>
          <w:sz w:val="22"/>
          <w:szCs w:val="22"/>
          <w:lang w:val="en-GB"/>
        </w:rPr>
        <w:t xml:space="preserve">‘Citizenship and free movement in a changing EU: navigating an archipelago of contradictions’, in </w:t>
      </w:r>
      <w:r w:rsidRPr="00152EB1">
        <w:rPr>
          <w:rFonts w:asciiTheme="majorHAnsi" w:hAnsiTheme="majorHAnsi"/>
          <w:sz w:val="22"/>
          <w:szCs w:val="22"/>
        </w:rPr>
        <w:t>Martill, B. and Staiger, U.</w:t>
      </w:r>
      <w:r>
        <w:rPr>
          <w:rFonts w:asciiTheme="majorHAnsi" w:hAnsiTheme="majorHAnsi"/>
          <w:sz w:val="22"/>
          <w:szCs w:val="22"/>
        </w:rPr>
        <w:t xml:space="preserve"> (eds.),</w:t>
      </w:r>
      <w:r w:rsidRPr="00152EB1">
        <w:rPr>
          <w:rFonts w:asciiTheme="majorHAnsi" w:hAnsiTheme="majorHAnsi"/>
          <w:sz w:val="22"/>
          <w:szCs w:val="22"/>
        </w:rPr>
        <w:t> </w:t>
      </w:r>
      <w:r w:rsidRPr="00152EB1">
        <w:rPr>
          <w:rFonts w:asciiTheme="majorHAnsi" w:hAnsiTheme="majorHAnsi"/>
          <w:i/>
          <w:iCs/>
          <w:sz w:val="22"/>
          <w:szCs w:val="22"/>
        </w:rPr>
        <w:t>Brexit and Beyond: Rethinking the Future(s) of Europe</w:t>
      </w:r>
      <w:r>
        <w:rPr>
          <w:rFonts w:asciiTheme="majorHAnsi" w:hAnsiTheme="majorHAnsi"/>
          <w:sz w:val="22"/>
          <w:szCs w:val="22"/>
        </w:rPr>
        <w:t>,</w:t>
      </w:r>
      <w:r w:rsidRPr="00152EB1">
        <w:rPr>
          <w:rFonts w:asciiTheme="majorHAnsi" w:hAnsiTheme="majorHAnsi"/>
          <w:sz w:val="22"/>
          <w:szCs w:val="22"/>
        </w:rPr>
        <w:t xml:space="preserve"> </w:t>
      </w:r>
      <w:r w:rsidRPr="00152EB1">
        <w:rPr>
          <w:rFonts w:asciiTheme="majorHAnsi" w:hAnsiTheme="majorHAnsi"/>
          <w:sz w:val="22"/>
          <w:szCs w:val="22"/>
        </w:rPr>
        <w:lastRenderedPageBreak/>
        <w:t>London: UCL Press</w:t>
      </w:r>
      <w:r>
        <w:rPr>
          <w:rFonts w:asciiTheme="majorHAnsi" w:hAnsiTheme="majorHAnsi"/>
          <w:sz w:val="22"/>
          <w:szCs w:val="22"/>
        </w:rPr>
        <w:t>, 156-164</w:t>
      </w:r>
    </w:p>
    <w:p w:rsidR="00076799" w:rsidRPr="00A23A88" w:rsidRDefault="00A23A88">
      <w:pPr>
        <w:rPr>
          <w:lang w:val="en-GB"/>
        </w:rPr>
      </w:pPr>
    </w:p>
    <w:sectPr w:rsidR="00076799" w:rsidRPr="00A23A88" w:rsidSect="00F50E8D">
      <w:footerReference w:type="even" r:id="rId5"/>
      <w:pgSz w:w="11900" w:h="16840"/>
      <w:pgMar w:top="1247" w:right="1418" w:bottom="1440" w:left="1418" w:header="709" w:footer="79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0N\V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6B" w:rsidRDefault="00A23A88" w:rsidP="004C7F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06B" w:rsidRDefault="00A23A8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88"/>
    <w:rsid w:val="00076DBF"/>
    <w:rsid w:val="00A23A88"/>
    <w:rsid w:val="00CA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61C4"/>
  <w15:chartTrackingRefBased/>
  <w15:docId w15:val="{78444297-143C-4774-B3A9-FFD06AB6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A88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3A88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A23A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3A88"/>
    <w:rPr>
      <w:rFonts w:ascii="Times New Roman" w:eastAsia="Times New Roman" w:hAnsi="Times New Roman" w:cs="Times New Roman"/>
      <w:szCs w:val="20"/>
      <w:lang w:val="en-US"/>
    </w:rPr>
  </w:style>
  <w:style w:type="character" w:styleId="PageNumber">
    <w:name w:val="page number"/>
    <w:basedOn w:val="DefaultParagraphFont"/>
    <w:unhideWhenUsed/>
    <w:rsid w:val="00A23A88"/>
  </w:style>
  <w:style w:type="paragraph" w:customStyle="1" w:styleId="Default">
    <w:name w:val="Default"/>
    <w:rsid w:val="00A23A88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 w:cs="Palatino Linotype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dx.doi.org/10.1080/07036337.2017.1333119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Krog Buskov</dc:creator>
  <cp:keywords/>
  <dc:description/>
  <cp:lastModifiedBy>Maja Krog Buskov</cp:lastModifiedBy>
  <cp:revision>1</cp:revision>
  <dcterms:created xsi:type="dcterms:W3CDTF">2018-08-13T10:48:00Z</dcterms:created>
  <dcterms:modified xsi:type="dcterms:W3CDTF">2018-08-13T10:49:00Z</dcterms:modified>
</cp:coreProperties>
</file>